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jc w:val="both"/>
        <w:rPr>
          <w:rFonts w:ascii="Arial" w:hAnsi="Arial" w:cs="Arial"/>
          <w:color w:val="000000"/>
          <w:sz w:val="22"/>
          <w:szCs w:val="22"/>
        </w:rPr>
      </w:pPr>
      <w:r>
        <w:rPr>
          <w:rFonts w:cs="Arial" w:ascii="Arial" w:hAnsi="Arial"/>
          <w:color w:val="000000"/>
          <w:sz w:val="22"/>
          <w:szCs w:val="22"/>
        </w:rPr>
      </w:r>
    </w:p>
    <w:p>
      <w:pPr>
        <w:pStyle w:val="NormalWeb"/>
        <w:spacing w:lineRule="auto" w:line="276"/>
        <w:ind w:firstLine="567"/>
        <w:jc w:val="both"/>
        <w:rPr>
          <w:rFonts w:ascii="Arial" w:hAnsi="Arial" w:cs="Arial"/>
          <w:color w:val="000000"/>
          <w:sz w:val="22"/>
          <w:szCs w:val="22"/>
        </w:rPr>
      </w:pPr>
      <w:r>
        <w:rPr>
          <w:rFonts w:cs="Arial" w:ascii="Arial" w:hAnsi="Arial"/>
          <w:color w:val="000000"/>
          <w:sz w:val="22"/>
          <w:szCs w:val="22"/>
        </w:rPr>
        <w:t xml:space="preserve">Każda duża inwestycja, w tym infrastrukturalna, przemysłowa, w OZE, drogowa, czy deweloperska budzi zainteresowanie i niejednokrotnie obawy części mieszkańców. Dlatego planowana przez nas inwestycja na terenie Łukowej w gminie Lisia Góra przygotowywana jest w sposób przemyślany, z dużą uwagą i troską o bezpieczeństwo mieszkańców i poszanowanie środowiska oraz z uwzględnieniem wszystkich koniecznych wymogów prawnych. </w:t>
      </w:r>
    </w:p>
    <w:p>
      <w:pPr>
        <w:pStyle w:val="NormalWeb"/>
        <w:spacing w:lineRule="auto" w:line="276"/>
        <w:ind w:firstLine="567"/>
        <w:jc w:val="both"/>
        <w:rPr>
          <w:rFonts w:ascii="Arial" w:hAnsi="Arial" w:cs="Arial"/>
          <w:color w:val="000000"/>
          <w:sz w:val="22"/>
          <w:szCs w:val="22"/>
        </w:rPr>
      </w:pPr>
      <w:r>
        <w:rPr>
          <w:rFonts w:cs="Arial" w:ascii="Arial" w:hAnsi="Arial"/>
          <w:color w:val="000000"/>
          <w:sz w:val="22"/>
          <w:szCs w:val="22"/>
        </w:rPr>
      </w:r>
    </w:p>
    <w:p>
      <w:pPr>
        <w:pStyle w:val="NormalWeb"/>
        <w:spacing w:lineRule="auto" w:line="276"/>
        <w:jc w:val="both"/>
        <w:rPr>
          <w:rFonts w:ascii="Arial" w:hAnsi="Arial" w:cs="Arial"/>
          <w:i/>
          <w:i/>
          <w:iCs/>
          <w:color w:val="000000"/>
          <w:sz w:val="22"/>
          <w:szCs w:val="22"/>
        </w:rPr>
      </w:pPr>
      <w:r>
        <w:rPr>
          <w:rFonts w:cs="Arial" w:ascii="Arial" w:hAnsi="Arial"/>
          <w:color w:val="000000"/>
          <w:sz w:val="22"/>
          <w:szCs w:val="22"/>
        </w:rPr>
        <w:t xml:space="preserve">Dla planowanej inwestycji </w:t>
      </w:r>
      <w:r>
        <w:rPr>
          <w:rFonts w:cs="Arial" w:ascii="Arial" w:hAnsi="Arial"/>
          <w:b/>
          <w:bCs/>
          <w:color w:val="000000"/>
          <w:sz w:val="22"/>
          <w:szCs w:val="22"/>
        </w:rPr>
        <w:t>zostały złożone wnioski o wydanie decyzji o środowiskowych uwarunkowaniach przedsięwzięcia (DoŚU) dla elektrowni słonecznej (PV) i magazynu energii elektrycznej (MEE).</w:t>
      </w:r>
      <w:r>
        <w:rPr>
          <w:rFonts w:cs="Arial" w:ascii="Arial" w:hAnsi="Arial"/>
          <w:color w:val="000000"/>
          <w:sz w:val="22"/>
          <w:szCs w:val="22"/>
        </w:rPr>
        <w:t xml:space="preserve"> Wniosek taki to standardowy, obligatoryjny i w pełni transparentny element każdego procesu inwestycyjnego dla tego typu obiektów. Procedura ta zapewnia publiczny dostęp do informacji oraz daje możliwość wnoszenia uwag między innymi przez społeczności lokalne.</w:t>
      </w:r>
      <w:r>
        <w:rPr/>
        <w:t xml:space="preserve"> </w:t>
      </w:r>
    </w:p>
    <w:p>
      <w:pPr>
        <w:pStyle w:val="NormalWeb"/>
        <w:spacing w:lineRule="auto" w:line="276"/>
        <w:jc w:val="both"/>
        <w:rPr>
          <w:rFonts w:ascii="Arial" w:hAnsi="Arial" w:cs="Arial"/>
          <w:color w:val="000000"/>
          <w:sz w:val="22"/>
          <w:szCs w:val="22"/>
        </w:rPr>
      </w:pPr>
      <w:r>
        <w:rPr>
          <w:rFonts w:cs="Arial" w:ascii="Arial" w:hAnsi="Arial"/>
          <w:color w:val="000000"/>
          <w:sz w:val="22"/>
          <w:szCs w:val="22"/>
        </w:rPr>
        <w:t xml:space="preserve">Na etapie pozyskiwania decyzji środowiskowej kluczowe instytucje, takie jak Regionalna Dyrekcja Ochrony Środowiska, Państwowy Powiatowy Inspektor Sanitarny czy Wody Polskie, mają prawny obowiązek szczegółowego przeanalizowania potencjalnego oddziaływania inwestycji i wniesienia swoich uwag. </w:t>
      </w:r>
      <w:r>
        <w:rPr>
          <w:rFonts w:cs="Arial" w:ascii="Arial" w:hAnsi="Arial"/>
          <w:b/>
          <w:bCs/>
          <w:color w:val="000000"/>
          <w:sz w:val="22"/>
          <w:szCs w:val="22"/>
        </w:rPr>
        <w:t>Celem tego postępowania jest dokładnie to, na czym zależy również mieszkańcom - szczegółowa i wieloaspektowa analiza potencjalnego wpływu inwestycji na środowisko.</w:t>
      </w:r>
      <w:r>
        <w:rPr>
          <w:rFonts w:cs="Arial" w:ascii="Arial" w:hAnsi="Arial"/>
          <w:color w:val="000000"/>
          <w:sz w:val="22"/>
          <w:szCs w:val="22"/>
        </w:rPr>
        <w:t xml:space="preserve"> Efektem będzie wskazanie takiego sposobu realizacji przedsięwzięcia, który zniweluje potencjalne negatywne oddziaływanie inwestycji na otoczenie. </w:t>
      </w:r>
    </w:p>
    <w:p>
      <w:pPr>
        <w:pStyle w:val="NormalWeb"/>
        <w:spacing w:lineRule="auto" w:line="276"/>
        <w:jc w:val="both"/>
        <w:rPr>
          <w:rStyle w:val="Strong"/>
          <w:rFonts w:ascii="Arial" w:hAnsi="Arial" w:cs="Arial"/>
          <w:color w:val="000000"/>
          <w:sz w:val="22"/>
          <w:szCs w:val="22"/>
        </w:rPr>
      </w:pPr>
      <w:r>
        <w:rPr>
          <w:rFonts w:cs="Arial" w:ascii="Arial" w:hAnsi="Arial"/>
          <w:color w:val="000000"/>
          <w:sz w:val="22"/>
          <w:szCs w:val="22"/>
        </w:rPr>
      </w:r>
    </w:p>
    <w:p>
      <w:pPr>
        <w:pStyle w:val="NormalWeb"/>
        <w:spacing w:lineRule="auto" w:line="276"/>
        <w:ind w:firstLine="567"/>
        <w:jc w:val="both"/>
        <w:rPr>
          <w:rFonts w:ascii="Arial" w:hAnsi="Arial" w:cs="Arial"/>
          <w:color w:val="000000"/>
          <w:sz w:val="22"/>
          <w:szCs w:val="22"/>
        </w:rPr>
      </w:pPr>
      <w:r>
        <w:rPr>
          <w:rFonts w:cs="Arial" w:ascii="Arial" w:hAnsi="Arial"/>
          <w:color w:val="000000"/>
          <w:sz w:val="22"/>
          <w:szCs w:val="22"/>
        </w:rPr>
        <w:t xml:space="preserve">Jeśli chodzi o </w:t>
      </w:r>
      <w:r>
        <w:rPr>
          <w:rFonts w:cs="Arial" w:ascii="Arial" w:hAnsi="Arial"/>
          <w:b/>
          <w:bCs/>
          <w:color w:val="000000"/>
          <w:sz w:val="22"/>
          <w:szCs w:val="22"/>
        </w:rPr>
        <w:t>zakres inwestycji,</w:t>
      </w:r>
      <w:r>
        <w:rPr>
          <w:rFonts w:cs="Arial" w:ascii="Arial" w:hAnsi="Arial"/>
          <w:color w:val="000000"/>
          <w:sz w:val="22"/>
          <w:szCs w:val="22"/>
        </w:rPr>
        <w:t xml:space="preserve"> to nadal prowadzimy proces pozyskiwania terenów </w:t>
        <w:br/>
        <w:t xml:space="preserve">w formie umów dzierżawy od właścicieli gruntów w Łukowej. Kluczowa w tym przypadku jest informacja, że inwestycja będzie realizowana wyłącznie na gruntach osób, które jako właściciele terenu samodzielnie decydują o ich przeznaczeniu i wykorzystaniu, w tym </w:t>
        <w:br/>
        <w:t xml:space="preserve">o zawarciu umów dzierżawy. </w:t>
      </w:r>
    </w:p>
    <w:p>
      <w:pPr>
        <w:pStyle w:val="NormalWeb"/>
        <w:spacing w:lineRule="auto" w:line="276"/>
        <w:ind w:firstLine="567"/>
        <w:jc w:val="both"/>
        <w:rPr>
          <w:rFonts w:ascii="Arial" w:hAnsi="Arial" w:cs="Arial"/>
          <w:color w:val="000000"/>
          <w:sz w:val="22"/>
          <w:szCs w:val="22"/>
        </w:rPr>
      </w:pPr>
      <w:r>
        <w:rPr>
          <w:rFonts w:cs="Arial" w:ascii="Arial" w:hAnsi="Arial"/>
          <w:color w:val="000000"/>
          <w:sz w:val="22"/>
          <w:szCs w:val="22"/>
        </w:rPr>
        <w:t xml:space="preserve">Zgodnie z naszymi zamierzeniami powierzchnia elektrowni PV nie przekroczy łącznie ok. 160 ha, a pod magazyn energii będzie to poniżej 1 ha. Ponieważ proces pozyskiwania gruntów jest w toku, wnioski o DoŚU obejmują obszar większy niż planowana docelowa inwestycja. Jest to standardowa praktyka, pozwalająca na elastyczność projektową i wybranie optymalnej lokalizacji dla posadowienia PV i MEE przy poszanowaniu lokalnych uwarunkowań. </w:t>
      </w:r>
    </w:p>
    <w:p>
      <w:pPr>
        <w:pStyle w:val="NormalWeb"/>
        <w:spacing w:lineRule="auto" w:line="276"/>
        <w:jc w:val="both"/>
        <w:rPr>
          <w:rFonts w:ascii="Arial" w:hAnsi="Arial" w:cs="Arial"/>
          <w:color w:val="000000"/>
          <w:sz w:val="22"/>
          <w:szCs w:val="22"/>
        </w:rPr>
      </w:pPr>
      <w:r>
        <w:rPr>
          <w:rFonts w:cs="Arial" w:ascii="Arial" w:hAnsi="Arial"/>
          <w:color w:val="000000"/>
          <w:sz w:val="22"/>
          <w:szCs w:val="22"/>
        </w:rPr>
        <w:t>Natomiast porównując wielkość planowanej inwestycji do innych działających w</w:t>
      </w:r>
      <w:r>
        <w:rPr>
          <w:rFonts w:cs="Arial" w:ascii="Arial" w:hAnsi="Arial"/>
          <w:sz w:val="22"/>
          <w:szCs w:val="22"/>
        </w:rPr>
        <w:t xml:space="preserve"> Polsce, to już istnieją i wciąż powstają elektrownie PV zajmujące </w:t>
      </w:r>
      <w:r>
        <w:rPr>
          <w:rFonts w:cs="Arial" w:ascii="Arial" w:hAnsi="Arial"/>
          <w:color w:val="000000"/>
          <w:sz w:val="22"/>
          <w:szCs w:val="22"/>
        </w:rPr>
        <w:t xml:space="preserve">znacznie większy areał (np. 200-300 ha) niż planowany w Łukowej. </w:t>
      </w:r>
    </w:p>
    <w:p>
      <w:pPr>
        <w:pStyle w:val="NormalWeb"/>
        <w:spacing w:lineRule="auto" w:line="276"/>
        <w:jc w:val="both"/>
        <w:rPr>
          <w:rFonts w:ascii="Arial" w:hAnsi="Arial" w:cs="Arial"/>
          <w:color w:val="000000"/>
          <w:sz w:val="22"/>
          <w:szCs w:val="22"/>
        </w:rPr>
      </w:pPr>
      <w:r>
        <w:rPr>
          <w:rFonts w:cs="Arial" w:ascii="Arial" w:hAnsi="Arial"/>
          <w:color w:val="000000"/>
          <w:sz w:val="22"/>
          <w:szCs w:val="22"/>
        </w:rPr>
      </w:r>
    </w:p>
    <w:p>
      <w:pPr>
        <w:pStyle w:val="NormalWeb"/>
        <w:spacing w:lineRule="auto" w:line="276"/>
        <w:jc w:val="both"/>
        <w:rPr>
          <w:rFonts w:ascii="Arial" w:hAnsi="Arial" w:cs="Arial"/>
          <w:color w:val="000000"/>
          <w:sz w:val="22"/>
          <w:szCs w:val="22"/>
        </w:rPr>
      </w:pPr>
      <w:r>
        <w:rPr>
          <w:rFonts w:cs="Arial" w:ascii="Arial" w:hAnsi="Arial"/>
          <w:color w:val="000000"/>
          <w:sz w:val="22"/>
          <w:szCs w:val="22"/>
        </w:rPr>
        <w:t xml:space="preserve">Kolejny ważny temat, podniesiony przez część mieszkańców to </w:t>
      </w:r>
      <w:r>
        <w:rPr>
          <w:rStyle w:val="Strong"/>
          <w:rFonts w:cs="Arial" w:ascii="Arial" w:hAnsi="Arial"/>
          <w:color w:val="000000"/>
          <w:sz w:val="22"/>
          <w:szCs w:val="22"/>
        </w:rPr>
        <w:t>bezpieczeństwo pożarowe</w:t>
      </w:r>
      <w:r>
        <w:rPr>
          <w:rStyle w:val="Strong"/>
          <w:rFonts w:cs="Arial" w:ascii="Arial" w:hAnsi="Arial"/>
          <w:b w:val="false"/>
          <w:bCs w:val="false"/>
          <w:color w:val="000000"/>
          <w:sz w:val="22"/>
          <w:szCs w:val="22"/>
        </w:rPr>
        <w:t>. R</w:t>
      </w:r>
      <w:r>
        <w:rPr>
          <w:rFonts w:cs="Arial" w:ascii="Arial" w:hAnsi="Arial"/>
          <w:color w:val="000000"/>
          <w:sz w:val="22"/>
          <w:szCs w:val="22"/>
        </w:rPr>
        <w:t>ealizacja elektrowni PV i magazynu energii elektrycznej podlega ścisłym rygorom prawa budowlanego i energetycznego oraz wielu normom i regulacjom. Każda tego typu inwestycja przed uruchomieniem przechodzi restrykcyjne odbiory techniczne oraz testy wykonywane przez odpowiednie służby. Dlatego nie ma możliwości, by do użytku dopuszczono instalację stwarzającą jakiekolwiek zagrożenie. Potwierdzeniem tego jest fakt, że w Polsce w ostatnich latach powstały setki elektrowni słonecznych, które funkcjonują bezawaryjnie i bezpiecznie dla otoczenia.</w:t>
      </w:r>
    </w:p>
    <w:p>
      <w:pPr>
        <w:pStyle w:val="NormalWeb"/>
        <w:spacing w:lineRule="auto" w:line="276"/>
        <w:jc w:val="both"/>
        <w:rPr>
          <w:rFonts w:ascii="Arial" w:hAnsi="Arial" w:cs="Arial"/>
          <w:color w:val="000000"/>
          <w:sz w:val="22"/>
          <w:szCs w:val="22"/>
        </w:rPr>
      </w:pPr>
      <w:r>
        <w:rPr>
          <w:rFonts w:cs="Arial" w:ascii="Arial" w:hAnsi="Arial"/>
          <w:color w:val="000000"/>
          <w:sz w:val="22"/>
          <w:szCs w:val="22"/>
        </w:rPr>
        <w:t xml:space="preserve">Natomiast inwestycja w postaci magazynów energii elektrycznej będzie oparta </w:t>
        <w:br/>
        <w:t>o najnowszą technologie, tj. rozwiązanie w technologii litowo-żelazowo-fosforanowej. Ten typ baterii znany jest z wysokiego bezpieczeństwa, długiej żywotności i stabilności napięcia. Jest to jedna z najbezpieczniejszych technologii, która nie zawiera metali takich jak nikiel, kobalt czy mangan, a późniejszy proces utylizacji baterii jest mało obciążający dla środowiska. Dodatkowo technologia ta umożliwia zastosowanie zabezpieczeń pożarowych, które całkowicie eliminują powstanie otwartego pożaru, co oznacza, że są pod tym względem najbezpieczniejsze.</w:t>
      </w:r>
    </w:p>
    <w:p>
      <w:pPr>
        <w:pStyle w:val="NormalWeb"/>
        <w:spacing w:lineRule="auto" w:line="276"/>
        <w:jc w:val="both"/>
        <w:rPr>
          <w:rFonts w:ascii="Arial" w:hAnsi="Arial" w:cs="Arial"/>
          <w:color w:val="000000"/>
          <w:sz w:val="22"/>
          <w:szCs w:val="22"/>
        </w:rPr>
      </w:pPr>
      <w:r>
        <w:rPr>
          <w:rFonts w:cs="Arial" w:ascii="Arial" w:hAnsi="Arial"/>
          <w:color w:val="000000"/>
          <w:sz w:val="22"/>
          <w:szCs w:val="22"/>
        </w:rPr>
      </w:r>
    </w:p>
    <w:p>
      <w:pPr>
        <w:pStyle w:val="NormalWeb"/>
        <w:spacing w:lineRule="auto" w:line="276"/>
        <w:jc w:val="both"/>
        <w:rPr>
          <w:rFonts w:ascii="Arial" w:hAnsi="Arial" w:cs="Arial"/>
          <w:b/>
          <w:bCs/>
          <w:color w:val="000000"/>
          <w:sz w:val="22"/>
          <w:szCs w:val="22"/>
        </w:rPr>
      </w:pPr>
      <w:r>
        <w:rPr>
          <w:rFonts w:cs="Arial" w:ascii="Arial" w:hAnsi="Arial"/>
          <w:color w:val="000000"/>
          <w:sz w:val="22"/>
          <w:szCs w:val="22"/>
        </w:rPr>
        <w:t xml:space="preserve">Jeśli chodzi o </w:t>
      </w:r>
      <w:r>
        <w:rPr>
          <w:rFonts w:cs="Arial" w:ascii="Arial" w:hAnsi="Arial"/>
          <w:b/>
          <w:bCs/>
          <w:color w:val="000000"/>
          <w:sz w:val="22"/>
          <w:szCs w:val="22"/>
        </w:rPr>
        <w:t xml:space="preserve">wpływ </w:t>
      </w:r>
      <w:r>
        <w:rPr>
          <w:rStyle w:val="Strong"/>
          <w:rFonts w:cs="Arial" w:ascii="Arial" w:hAnsi="Arial"/>
          <w:color w:val="000000"/>
          <w:sz w:val="22"/>
          <w:szCs w:val="22"/>
        </w:rPr>
        <w:t>inwestycji na ekosystem t</w:t>
      </w:r>
      <w:r>
        <w:rPr>
          <w:rFonts w:cs="Arial" w:ascii="Arial" w:hAnsi="Arial"/>
          <w:color w:val="000000"/>
          <w:sz w:val="22"/>
          <w:szCs w:val="22"/>
        </w:rPr>
        <w:t>o właśnie procedura DoŚU, ma na celu jego ochronę. W jej ramach zostanie przeprowadzona szczegółowa inwentaryzacja przyrodnicza. Jeśli wykaże ona istnienie wrażliwych obszarów, zostaniemy prawnie zobowiązani do zastosowania środków minimalizujących lub kompensujących ten wpływ. Ponadto zakładając  minimalizowanie oddziaływania inwestycji na środowisko, planujemy realizację elektrowni PV w formie trzech oddzielnych pól wytwórczych. Pomiędzy nimi pozostawimy szerokie korytarze pól rolnych i zieleni naturalnej, które będą mogły stanowić ostoję dla lokalnej fauny oraz korytarze migracyjne.</w:t>
      </w:r>
      <w:r>
        <w:rPr>
          <w:rFonts w:cs="Arial" w:ascii="Arial" w:hAnsi="Arial"/>
          <w:sz w:val="22"/>
          <w:szCs w:val="22"/>
        </w:rPr>
        <w:t xml:space="preserve"> M</w:t>
      </w:r>
      <w:r>
        <w:rPr>
          <w:rFonts w:cs="Arial" w:ascii="Arial" w:hAnsi="Arial"/>
          <w:color w:val="000000"/>
          <w:sz w:val="22"/>
          <w:szCs w:val="22"/>
        </w:rPr>
        <w:t>agazyn energii elektrycznej powstanie w innej lokalizacji w stosunku do instalacji PV.</w:t>
      </w:r>
    </w:p>
    <w:p>
      <w:pPr>
        <w:pStyle w:val="NormalWeb"/>
        <w:spacing w:lineRule="auto" w:line="276"/>
        <w:jc w:val="both"/>
        <w:rPr>
          <w:rFonts w:ascii="Arial" w:hAnsi="Arial" w:cs="Arial"/>
          <w:color w:val="000000"/>
          <w:sz w:val="22"/>
          <w:szCs w:val="22"/>
        </w:rPr>
      </w:pPr>
      <w:r>
        <w:rPr>
          <w:rFonts w:cs="Arial" w:ascii="Arial" w:hAnsi="Arial"/>
          <w:color w:val="000000"/>
          <w:sz w:val="22"/>
          <w:szCs w:val="22"/>
        </w:rPr>
      </w:r>
    </w:p>
    <w:p>
      <w:pPr>
        <w:pStyle w:val="NormalWeb"/>
        <w:spacing w:lineRule="auto" w:line="276"/>
        <w:jc w:val="both"/>
        <w:rPr>
          <w:rFonts w:ascii="Arial" w:hAnsi="Arial" w:cs="Arial"/>
          <w:color w:val="000000"/>
          <w:sz w:val="22"/>
          <w:szCs w:val="22"/>
        </w:rPr>
      </w:pPr>
      <w:r>
        <w:rPr>
          <w:rStyle w:val="Strong"/>
          <w:rFonts w:cs="Arial" w:ascii="Arial" w:hAnsi="Arial"/>
          <w:color w:val="000000"/>
          <w:sz w:val="22"/>
          <w:szCs w:val="22"/>
        </w:rPr>
        <w:t xml:space="preserve">Warto też podkreślić, że </w:t>
      </w:r>
      <w:r>
        <w:rPr>
          <w:rFonts w:cs="Arial" w:ascii="Arial" w:hAnsi="Arial"/>
          <w:b/>
          <w:bCs/>
          <w:color w:val="000000"/>
          <w:sz w:val="22"/>
          <w:szCs w:val="22"/>
        </w:rPr>
        <w:t>nowoczesne farmy PV są praktycznie bezgłośne</w:t>
      </w:r>
      <w:r>
        <w:rPr>
          <w:rFonts w:cs="Arial" w:ascii="Arial" w:hAnsi="Arial"/>
          <w:color w:val="000000"/>
          <w:sz w:val="22"/>
          <w:szCs w:val="22"/>
        </w:rPr>
        <w:t xml:space="preserve">. Jedynym źródłem dźwięku mogą być stacje transformatorowe lub inwertery, jednak ich lokalizacja </w:t>
        <w:br/>
        <w:t xml:space="preserve">i parametry muszą spełniać surowe normy dotyczące dopuszczalnego poziomu hałasu </w:t>
        <w:br/>
        <w:t xml:space="preserve">w środowisku. To również będzie szczegółowo badane na etapie DoŚU. </w:t>
      </w:r>
    </w:p>
    <w:p>
      <w:pPr>
        <w:pStyle w:val="NormalWeb"/>
        <w:spacing w:lineRule="auto" w:line="276"/>
        <w:jc w:val="both"/>
        <w:rPr>
          <w:rFonts w:ascii="Arial" w:hAnsi="Arial" w:cs="Arial"/>
          <w:color w:val="000000"/>
          <w:sz w:val="22"/>
          <w:szCs w:val="22"/>
        </w:rPr>
      </w:pPr>
      <w:r>
        <w:rPr>
          <w:rFonts w:cs="Arial" w:ascii="Arial" w:hAnsi="Arial"/>
          <w:color w:val="000000"/>
          <w:sz w:val="22"/>
          <w:szCs w:val="22"/>
        </w:rPr>
        <w:t xml:space="preserve">Instalacja magazynu energii elektrycznej będzie również podlegać pomiarowi hałasu emitowanego do środowiska i jeśli pojawi się taka potrzeba, istnieje możliwość zastosowania w konstrukcji odpowiednich zabezpieczeń wytłumiających. </w:t>
      </w:r>
    </w:p>
    <w:p>
      <w:pPr>
        <w:pStyle w:val="NormalWeb"/>
        <w:spacing w:lineRule="auto" w:line="276"/>
        <w:jc w:val="both"/>
        <w:rPr>
          <w:rFonts w:ascii="Arial" w:hAnsi="Arial" w:cs="Arial"/>
          <w:color w:val="000000"/>
          <w:sz w:val="22"/>
          <w:szCs w:val="22"/>
        </w:rPr>
      </w:pPr>
      <w:r>
        <w:rPr>
          <w:rFonts w:cs="Arial" w:ascii="Arial" w:hAnsi="Arial"/>
          <w:color w:val="000000"/>
          <w:sz w:val="22"/>
          <w:szCs w:val="22"/>
        </w:rPr>
      </w:r>
    </w:p>
    <w:p>
      <w:pPr>
        <w:pStyle w:val="NormalWeb"/>
        <w:spacing w:lineRule="auto" w:line="276"/>
        <w:jc w:val="both"/>
        <w:rPr>
          <w:rStyle w:val="Strong"/>
          <w:rFonts w:ascii="Arial" w:hAnsi="Arial" w:cs="Arial"/>
          <w:color w:val="000000"/>
          <w:sz w:val="22"/>
          <w:szCs w:val="22"/>
        </w:rPr>
      </w:pPr>
      <w:r>
        <w:rPr>
          <w:rStyle w:val="Strong"/>
          <w:rFonts w:cs="Arial" w:ascii="Arial" w:hAnsi="Arial"/>
          <w:color w:val="000000"/>
          <w:sz w:val="22"/>
          <w:szCs w:val="22"/>
        </w:rPr>
        <w:t xml:space="preserve">Nie można zapominać o korzyściach z inwestycji. </w:t>
      </w:r>
    </w:p>
    <w:p>
      <w:pPr>
        <w:pStyle w:val="NormalWeb"/>
        <w:spacing w:lineRule="auto" w:line="276"/>
        <w:jc w:val="both"/>
        <w:rPr>
          <w:rFonts w:ascii="Arial" w:hAnsi="Arial" w:cs="Arial"/>
          <w:color w:val="000000"/>
          <w:sz w:val="22"/>
          <w:szCs w:val="22"/>
        </w:rPr>
      </w:pPr>
      <w:r>
        <w:rPr>
          <w:rStyle w:val="Strong"/>
          <w:rFonts w:cs="Arial" w:ascii="Arial" w:hAnsi="Arial"/>
          <w:b w:val="false"/>
          <w:bCs w:val="false"/>
          <w:color w:val="000000"/>
          <w:sz w:val="22"/>
          <w:szCs w:val="22"/>
        </w:rPr>
        <w:t>Na</w:t>
      </w:r>
      <w:r>
        <w:rPr>
          <w:rFonts w:cs="Arial" w:ascii="Arial" w:hAnsi="Arial"/>
          <w:color w:val="000000"/>
          <w:sz w:val="22"/>
          <w:szCs w:val="22"/>
        </w:rPr>
        <w:t xml:space="preserve"> poziomie krajowego bezpieczeństwa i niezależności energetycznej, będzie nimi wsparcie transformacji energetycznej, ograniczenie emisji CO</w:t>
      </w:r>
      <w:r>
        <w:rPr>
          <w:rFonts w:cs="Arial" w:ascii="Arial" w:hAnsi="Arial"/>
          <w:color w:val="000000"/>
          <w:sz w:val="22"/>
          <w:szCs w:val="22"/>
          <w:vertAlign w:val="subscript"/>
        </w:rPr>
        <w:t>2</w:t>
      </w:r>
      <w:r>
        <w:rPr>
          <w:rFonts w:cs="Arial" w:ascii="Arial" w:hAnsi="Arial"/>
          <w:color w:val="000000"/>
          <w:sz w:val="22"/>
          <w:szCs w:val="22"/>
        </w:rPr>
        <w:t xml:space="preserve"> oraz zapewnienie nowego, czystego źródła energii elektrycznej. </w:t>
      </w:r>
    </w:p>
    <w:p>
      <w:pPr>
        <w:pStyle w:val="NormalWeb"/>
        <w:spacing w:lineRule="auto" w:line="276"/>
        <w:jc w:val="both"/>
        <w:rPr>
          <w:rFonts w:ascii="Arial" w:hAnsi="Arial" w:cs="Arial"/>
          <w:b/>
          <w:bCs/>
          <w:color w:val="000000"/>
          <w:sz w:val="22"/>
          <w:szCs w:val="22"/>
        </w:rPr>
      </w:pPr>
      <w:r>
        <w:rPr>
          <w:rFonts w:cs="Arial" w:ascii="Arial" w:hAnsi="Arial"/>
          <w:color w:val="000000"/>
          <w:sz w:val="22"/>
          <w:szCs w:val="22"/>
        </w:rPr>
        <w:t>Jednak dla mieszkańców równie duże znaczenie mają korzyści lokalne, dotyczące ich bezpośredniego otoczenia i społeczności. Planowana inwestycja przełoży się na znaczące, coroczne wpływy do budżetu gminy Lisia Góra z tytułu podatku od nieruchomości, związanego z prowadzeniem działalności gospodarczej oraz podatku od budowli. Są to kwoty wielokrotnie wyższe niż obecne wpływy z podatku rolnego z tego terenu. Te dodatkowe środki finansowe Gmina może przeznaczyć bezpośrednio na realne potrzeby mieszkańców Łukowej, w tym np. na remonty dróg, inwestycje w szkoły, infrastrukturę wodociągową czy wsparcie lokalnych inicjatyw.</w:t>
      </w:r>
    </w:p>
    <w:p>
      <w:pPr>
        <w:pStyle w:val="NormalWeb"/>
        <w:spacing w:lineRule="auto" w:line="276"/>
        <w:jc w:val="both"/>
        <w:rPr>
          <w:rFonts w:ascii="Arial" w:hAnsi="Arial" w:cs="Arial"/>
          <w:color w:val="000000"/>
          <w:sz w:val="22"/>
          <w:szCs w:val="22"/>
        </w:rPr>
      </w:pPr>
      <w:r>
        <w:rPr>
          <w:rFonts w:cs="Arial" w:ascii="Arial" w:hAnsi="Arial"/>
          <w:color w:val="000000"/>
          <w:sz w:val="22"/>
          <w:szCs w:val="22"/>
        </w:rPr>
        <w:t>Jeśli chodzi o nasze bezpośrednie zaangażowanie, to jako firma realizująca tego typu przedsięwzięcie, stajemy się na wiele lat częścią lokalnej społeczności. Dlatego właśnie chcemy aktywnie uczestniczyć w jej życiu. Jedną z naszych propozycji będzie bezpośrednie wsparcie lokalnych jednostek Ochotniczej Straży Pożarnej. Planujemy również zaangażowanie się w lokalne akcje edukacyjne z zakresu OZE i ochrony klimatu.</w:t>
      </w:r>
    </w:p>
    <w:p>
      <w:pPr>
        <w:pStyle w:val="NormalWeb"/>
        <w:spacing w:lineRule="auto" w:line="276"/>
        <w:jc w:val="both"/>
        <w:rPr>
          <w:rFonts w:ascii="Arial" w:hAnsi="Arial" w:cs="Arial"/>
          <w:color w:val="000000"/>
          <w:sz w:val="22"/>
          <w:szCs w:val="22"/>
        </w:rPr>
      </w:pPr>
      <w:r>
        <w:rPr>
          <w:rFonts w:cs="Arial" w:ascii="Arial" w:hAnsi="Arial"/>
          <w:color w:val="000000"/>
          <w:sz w:val="22"/>
          <w:szCs w:val="22"/>
        </w:rPr>
      </w:r>
    </w:p>
    <w:p>
      <w:pPr>
        <w:pStyle w:val="NormalWeb"/>
        <w:spacing w:lineRule="auto" w:line="276"/>
        <w:jc w:val="both"/>
        <w:rPr>
          <w:rFonts w:ascii="Arial" w:hAnsi="Arial" w:cs="Arial"/>
          <w:b/>
          <w:bCs/>
          <w:color w:val="000000"/>
          <w:sz w:val="22"/>
          <w:szCs w:val="22"/>
        </w:rPr>
      </w:pPr>
      <w:r>
        <w:rPr>
          <w:rFonts w:cs="Arial" w:ascii="Arial" w:hAnsi="Arial"/>
          <w:b/>
          <w:bCs/>
          <w:color w:val="000000"/>
          <w:sz w:val="22"/>
          <w:szCs w:val="22"/>
        </w:rPr>
        <w:t xml:space="preserve">Podsumowując: planowana inwestycja to projekt bezpieczny, nowoczesny </w:t>
        <w:br/>
        <w:t xml:space="preserve">i potrzebny. Rozumiemy zgłaszane obawy po stronie części mieszkańców –  właśnie dlatego traktujemy procedurę decyzji środowiskowej jako ważną platformę do merytorycznej dyskusji. Cześć mieszkańców już jest przekonana o korzyściach wynikających z tej inwestycji. Chcemy by wszyscy dostrzegli, że ta inwestycja to szansa na realny rozwój Łukowej i całej gminy.  </w:t>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Aptos">
    <w:charset w:val="ee"/>
    <w:family w:val="swiss"/>
    <w:pitch w:val="variable"/>
  </w:font>
  <w:font w:name="Arial">
    <w:charset w:val="ee"/>
    <w:family w:val="swiss"/>
    <w:pitch w:val="variable"/>
  </w:font>
</w:fonts>
</file>

<file path=word/settings.xml><?xml version="1.0" encoding="utf-8"?>
<w:settings xmlns:w="http://schemas.openxmlformats.org/wordprocessingml/2006/main">
  <w:zoom w:percent="15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eb1169"/>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eb1169"/>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eb1169"/>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eb1169"/>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eb1169"/>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eb116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eb116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eb116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eb116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eb1169"/>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eb1169"/>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eb1169"/>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eb1169"/>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eb1169"/>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eb1169"/>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eb1169"/>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eb1169"/>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eb1169"/>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eb1169"/>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eb1169"/>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eb1169"/>
    <w:rPr>
      <w:i/>
      <w:iCs/>
      <w:color w:themeColor="text1" w:themeTint="bf" w:val="404040"/>
    </w:rPr>
  </w:style>
  <w:style w:type="character" w:styleId="IntenseEmphasis">
    <w:name w:val="Intense Emphasis"/>
    <w:basedOn w:val="DefaultParagraphFont"/>
    <w:uiPriority w:val="21"/>
    <w:qFormat/>
    <w:rsid w:val="00eb1169"/>
    <w:rPr>
      <w:i/>
      <w:iCs/>
      <w:color w:themeColor="accent1" w:themeShade="bf" w:val="2F5496"/>
    </w:rPr>
  </w:style>
  <w:style w:type="character" w:styleId="CytatintensywnyZnak" w:customStyle="1">
    <w:name w:val="Cytat intensywny Znak"/>
    <w:basedOn w:val="DefaultParagraphFont"/>
    <w:link w:val="IntenseQuote"/>
    <w:uiPriority w:val="30"/>
    <w:qFormat/>
    <w:rsid w:val="00eb1169"/>
    <w:rPr>
      <w:i/>
      <w:iCs/>
      <w:color w:themeColor="accent1" w:themeShade="bf" w:val="2F5496"/>
    </w:rPr>
  </w:style>
  <w:style w:type="character" w:styleId="IntenseReference">
    <w:name w:val="Intense Reference"/>
    <w:basedOn w:val="DefaultParagraphFont"/>
    <w:uiPriority w:val="32"/>
    <w:qFormat/>
    <w:rsid w:val="00eb1169"/>
    <w:rPr>
      <w:b/>
      <w:bCs/>
      <w:smallCaps/>
      <w:color w:themeColor="accent1" w:themeShade="bf" w:val="2F5496"/>
      <w:spacing w:val="5"/>
    </w:rPr>
  </w:style>
  <w:style w:type="character" w:styleId="Strong">
    <w:name w:val="Strong"/>
    <w:basedOn w:val="DefaultParagraphFont"/>
    <w:uiPriority w:val="22"/>
    <w:qFormat/>
    <w:rsid w:val="00eb1169"/>
    <w:rPr>
      <w:b/>
      <w:bC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Header">
    <w:name w:val="head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rFonts w:cs="Arial"/>
    </w:rPr>
  </w:style>
  <w:style w:type="paragraph" w:styleId="Gwkaistopkauser" w:customStyle="1">
    <w:name w:val="Główka i stopka (user)"/>
    <w:basedOn w:val="Normal"/>
    <w:qFormat/>
    <w:pPr/>
    <w:rPr/>
  </w:style>
  <w:style w:type="paragraph" w:styleId="Title">
    <w:name w:val="Title"/>
    <w:basedOn w:val="Normal"/>
    <w:next w:val="Normal"/>
    <w:link w:val="TytuZnak"/>
    <w:uiPriority w:val="10"/>
    <w:qFormat/>
    <w:rsid w:val="00eb1169"/>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PodtytuZnak"/>
    <w:uiPriority w:val="11"/>
    <w:qFormat/>
    <w:rsid w:val="00eb1169"/>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eb1169"/>
    <w:pPr>
      <w:spacing w:before="160" w:after="160"/>
      <w:jc w:val="center"/>
    </w:pPr>
    <w:rPr>
      <w:i/>
      <w:iCs/>
      <w:color w:themeColor="text1" w:themeTint="bf" w:val="404040"/>
    </w:rPr>
  </w:style>
  <w:style w:type="paragraph" w:styleId="ListParagraph">
    <w:name w:val="List Paragraph"/>
    <w:basedOn w:val="Normal"/>
    <w:uiPriority w:val="34"/>
    <w:qFormat/>
    <w:rsid w:val="00eb1169"/>
    <w:pPr>
      <w:spacing w:before="0" w:after="160"/>
      <w:ind w:left="720"/>
      <w:contextualSpacing/>
    </w:pPr>
    <w:rPr/>
  </w:style>
  <w:style w:type="paragraph" w:styleId="IntenseQuote">
    <w:name w:val="Intense Quote"/>
    <w:basedOn w:val="Normal"/>
    <w:next w:val="Normal"/>
    <w:link w:val="CytatintensywnyZnak"/>
    <w:uiPriority w:val="30"/>
    <w:qFormat/>
    <w:rsid w:val="00eb1169"/>
    <w:pPr>
      <w:pBdr>
        <w:top w:val="single" w:sz="4" w:space="10" w:color="2F5496"/>
        <w:bottom w:val="single" w:sz="4" w:space="10" w:color="2F5496"/>
      </w:pBdr>
      <w:spacing w:before="360" w:after="360"/>
      <w:ind w:left="864" w:right="864"/>
      <w:jc w:val="center"/>
    </w:pPr>
    <w:rPr>
      <w:i/>
      <w:iCs/>
      <w:color w:themeColor="accent1" w:themeShade="bf" w:val="2F5496"/>
    </w:rPr>
  </w:style>
  <w:style w:type="paragraph" w:styleId="NormalWeb">
    <w:name w:val="Normal (Web)"/>
    <w:basedOn w:val="Normal"/>
    <w:uiPriority w:val="99"/>
    <w:unhideWhenUsed/>
    <w:qFormat/>
    <w:rsid w:val="00eb1169"/>
    <w:pPr>
      <w:spacing w:lineRule="auto" w:line="240" w:before="0" w:after="0"/>
    </w:pPr>
    <w:rPr>
      <w:rFonts w:ascii="Aptos" w:hAnsi="Aptos" w:cs="Aptos"/>
      <w:kern w:val="0"/>
      <w:sz w:val="24"/>
      <w:szCs w:val="24"/>
      <w:lang w:eastAsia="pl-PL"/>
      <w14:ligatures w14:val="none"/>
    </w:rPr>
  </w:style>
  <w:style w:type="paragraph" w:styleId="Revision">
    <w:name w:val="Revision"/>
    <w:uiPriority w:val="99"/>
    <w:semiHidden/>
    <w:qFormat/>
    <w:rsid w:val="00807911"/>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234</TotalTime>
  <Application>LibreOffice/25.2.6.2$Windows_X86_64 LibreOffice_project/729c5bfe710f5eb71ed3bbde9e06a6065e9c6c5d</Application>
  <AppVersion>15.0000</AppVersion>
  <DocSecurity>0</DocSecurity>
  <Pages>2</Pages>
  <Words>856</Words>
  <Characters>5880</Characters>
  <CharactersWithSpaces>6741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2025-11-11T15:07:00Z</dcterms:created>
  <dc:creator>Jerzy Topolski</dc:creator>
  <dc:description/>
  <dc:language>pl-PL</dc:language>
  <cp:lastModifiedBy>Jerzy Topolski</cp:lastModifiedBy>
  <dcterms:modified xsi:type="dcterms:W3CDTF">2025-11-13T12:51:00Z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